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BC" w:rsidRDefault="008C3ABC" w:rsidP="008C3ABC">
      <w:pPr>
        <w:rPr>
          <w:b/>
        </w:rPr>
      </w:pPr>
      <w:r>
        <w:rPr>
          <w:b/>
        </w:rPr>
        <w:t>USTANOVA „DJEČJI VRTIĆI“ MOSTAR</w:t>
      </w:r>
    </w:p>
    <w:p w:rsidR="008C3ABC" w:rsidRDefault="008C3ABC" w:rsidP="008C3ABC">
      <w:r>
        <w:t>Upravno vijeće</w:t>
      </w:r>
    </w:p>
    <w:p w:rsidR="008C3ABC" w:rsidRDefault="008C3ABC" w:rsidP="008C3ABC"/>
    <w:p w:rsidR="008C3ABC" w:rsidRDefault="008C3ABC" w:rsidP="008C3ABC">
      <w:r>
        <w:t>Ur.br.:01-UV-421/24</w:t>
      </w:r>
    </w:p>
    <w:p w:rsidR="008C3ABC" w:rsidRDefault="008C3ABC" w:rsidP="008C3ABC">
      <w:r>
        <w:t xml:space="preserve">Mostar, 26. 03. 2024. </w:t>
      </w:r>
    </w:p>
    <w:p w:rsidR="008C3ABC" w:rsidRDefault="008C3ABC" w:rsidP="008C3ABC"/>
    <w:p w:rsidR="008C3ABC" w:rsidRDefault="008C3ABC" w:rsidP="008C3ABC">
      <w:pPr>
        <w:ind w:firstLine="708"/>
        <w:jc w:val="both"/>
      </w:pPr>
      <w:r>
        <w:t>Temeljem članka 45. Zakona o predškolskom odgoju («Službene novine HNŽ», broj 5/2000), članka 26. Statuta Ustanove «Dječji vrtići» Mostar (ur.br.:01-UV-370/21 30. 04. 2021.) i članka 10. Pravilnika o radu Ustanove (ur.br.:01-UV-908/23, od  20. 11. 2023. godine i ur.br.:01-UV-274/24, 12. 02. 2024.), Upravno vijeće Ustanove na sjednici održanoj 26. 03. 2024. godine, donosi</w:t>
      </w:r>
    </w:p>
    <w:p w:rsidR="008C3ABC" w:rsidRDefault="008C3ABC" w:rsidP="008C3ABC">
      <w:pPr>
        <w:pStyle w:val="Tijeloteksta"/>
      </w:pPr>
    </w:p>
    <w:p w:rsidR="008C3ABC" w:rsidRDefault="008C3ABC" w:rsidP="008C3ABC">
      <w:pPr>
        <w:jc w:val="center"/>
        <w:rPr>
          <w:b/>
          <w:sz w:val="28"/>
          <w:szCs w:val="28"/>
        </w:rPr>
      </w:pPr>
      <w:r>
        <w:rPr>
          <w:b/>
          <w:sz w:val="28"/>
          <w:szCs w:val="28"/>
        </w:rPr>
        <w:t>Pravila i postupak za prijem u radni odnos</w:t>
      </w:r>
    </w:p>
    <w:p w:rsidR="008C3ABC" w:rsidRDefault="008C3ABC" w:rsidP="008C3ABC">
      <w:pPr>
        <w:jc w:val="center"/>
        <w:rPr>
          <w:b/>
          <w:sz w:val="28"/>
          <w:szCs w:val="28"/>
        </w:rPr>
      </w:pPr>
      <w:r>
        <w:rPr>
          <w:b/>
          <w:sz w:val="28"/>
          <w:szCs w:val="28"/>
        </w:rPr>
        <w:t>po Javnom natječaju na određeno i neodređeno vrijeme</w:t>
      </w:r>
    </w:p>
    <w:p w:rsidR="008C3ABC" w:rsidRDefault="008C3ABC" w:rsidP="008C3ABC"/>
    <w:p w:rsidR="008C3ABC" w:rsidRDefault="008C3ABC" w:rsidP="008C3ABC">
      <w:pPr>
        <w:jc w:val="center"/>
        <w:rPr>
          <w:b/>
          <w:i/>
        </w:rPr>
      </w:pPr>
      <w:r>
        <w:rPr>
          <w:b/>
          <w:i/>
        </w:rPr>
        <w:t>Članak 1.</w:t>
      </w:r>
    </w:p>
    <w:p w:rsidR="008C3ABC" w:rsidRDefault="008C3ABC" w:rsidP="008C3ABC">
      <w:pPr>
        <w:pStyle w:val="Odlomakpopisa"/>
        <w:numPr>
          <w:ilvl w:val="0"/>
          <w:numId w:val="1"/>
        </w:numPr>
        <w:jc w:val="both"/>
      </w:pPr>
      <w:r>
        <w:t>Povjerenstvo za provođenje testiranja kandidata (usmeni i pismeni dio ispita), imenovano od strane ravnateljice Ustanove (u daljnjem tekstu: Ispitno povjerenstvo), provodi postupak za prijem u radni odnos kandidata po Javnom natječaju, sukladno Pravilima i postupku za prijem u radni odnos po Javnom natječaju na određeno i neodređeno vrijeme (dalje: Pravila).</w:t>
      </w:r>
    </w:p>
    <w:p w:rsidR="008C3ABC" w:rsidRDefault="008C3ABC" w:rsidP="008C3ABC">
      <w:pPr>
        <w:pStyle w:val="Odlomakpopisa"/>
        <w:numPr>
          <w:ilvl w:val="0"/>
          <w:numId w:val="1"/>
        </w:numPr>
        <w:jc w:val="both"/>
      </w:pPr>
      <w:r>
        <w:t xml:space="preserve">Ispitno povjerenstvo je neovisno i radi u punom sastavu. Svaki član Ispitnog povjerenstva ima svoje izdvojeno mišljenje a odluke se donose većinom glasova. </w:t>
      </w:r>
    </w:p>
    <w:p w:rsidR="008C3ABC" w:rsidRDefault="008C3ABC" w:rsidP="008C3ABC">
      <w:pPr>
        <w:jc w:val="both"/>
      </w:pPr>
    </w:p>
    <w:p w:rsidR="008C3ABC" w:rsidRDefault="008C3ABC" w:rsidP="008C3ABC">
      <w:pPr>
        <w:jc w:val="center"/>
        <w:rPr>
          <w:b/>
        </w:rPr>
      </w:pPr>
      <w:r>
        <w:rPr>
          <w:b/>
        </w:rPr>
        <w:t>Tijek postupka pismenog dijela ispita</w:t>
      </w:r>
    </w:p>
    <w:p w:rsidR="008C3ABC" w:rsidRDefault="008C3ABC" w:rsidP="008C3ABC">
      <w:pPr>
        <w:jc w:val="both"/>
      </w:pPr>
    </w:p>
    <w:p w:rsidR="008C3ABC" w:rsidRDefault="008C3ABC" w:rsidP="008C3ABC">
      <w:pPr>
        <w:jc w:val="center"/>
        <w:rPr>
          <w:b/>
          <w:i/>
        </w:rPr>
      </w:pPr>
      <w:r>
        <w:rPr>
          <w:b/>
          <w:i/>
        </w:rPr>
        <w:t>Članak 2.</w:t>
      </w:r>
    </w:p>
    <w:p w:rsidR="008C3ABC" w:rsidRDefault="008C3ABC" w:rsidP="008C3ABC">
      <w:pPr>
        <w:pStyle w:val="Odlomakpopisa"/>
        <w:numPr>
          <w:ilvl w:val="0"/>
          <w:numId w:val="2"/>
        </w:numPr>
        <w:jc w:val="both"/>
      </w:pPr>
      <w:r>
        <w:t>Po dolasku na pismeni dio ispita, od kandidata će biti zatraženo predočavanje osobne iskaznice radi utvrđivanja identiteta. Kandidat koji ne može dokazati identitet neće moći pristupiti testiranju. Kandidat koji ne pristupi testiranju smatrat će se da je povukao prijavu na Javni natječaj.</w:t>
      </w:r>
    </w:p>
    <w:p w:rsidR="008C3ABC" w:rsidRDefault="008C3ABC" w:rsidP="008C3ABC">
      <w:pPr>
        <w:numPr>
          <w:ilvl w:val="0"/>
          <w:numId w:val="2"/>
        </w:numPr>
        <w:jc w:val="both"/>
      </w:pPr>
      <w:r>
        <w:t>Nakon utvrđivanja identiteta, kandidatima će biti podijeljena pitanja za pismeni dio ispita.  Pisana provjera znanja traje do 60 minuta, a ukupan broj pitanja će bi petnaest (15).</w:t>
      </w:r>
    </w:p>
    <w:p w:rsidR="008C3ABC" w:rsidRDefault="008C3ABC" w:rsidP="008C3ABC">
      <w:pPr>
        <w:numPr>
          <w:ilvl w:val="0"/>
          <w:numId w:val="2"/>
        </w:numPr>
        <w:jc w:val="both"/>
      </w:pPr>
      <w:r>
        <w:t xml:space="preserve">Za vrijeme pismenog dijela ispita nije dopušteno: koristiti se bilo kakvom literaturom ili bilješkama, koristiti mobitel, napuštati prostoriju dok traje testiranje, razgovarati sa ostalim kandidatima. Kandidat koji se bude ponašao neprimjereno ili prekrši neko od navedenih pravila biti će udaljen sa testiranja i njegov rezultat se neće bodovati, o čemu će ispitno povjerenstvo napraviti zabilješku. </w:t>
      </w:r>
    </w:p>
    <w:p w:rsidR="008C3ABC" w:rsidRDefault="008C3ABC" w:rsidP="008C3ABC">
      <w:pPr>
        <w:numPr>
          <w:ilvl w:val="0"/>
          <w:numId w:val="2"/>
        </w:numPr>
        <w:jc w:val="both"/>
      </w:pPr>
      <w:r>
        <w:t>Pisano testiranje kandidata (za radna mjesta odgajatelja, stručnih suradnika i zdravstvenih djelatnika) sastoji se od odgovaranja na pitanja koja se neposredno odnose na odgojno–obrazovni rad u vrtiću te zakonsku regulativu iz oblasti predškolskog odgoja. Pisano testiranje za kandidate koji se prijavljuju na ostala radna mjesta, usko su vezana za opis poslova radnog mjesta za koje se kandidat prijavljuje. Maksimalan broj bodova koji se mogu ostvariti na pismenom testiranju kandidata biti će jednak broju postavljenih pitanja na pisanom testiranju, odnosno petnaest (15). Odgovor na pitanje može se vrednovati i sa pola (0,5) boda.</w:t>
      </w:r>
    </w:p>
    <w:p w:rsidR="008C3ABC" w:rsidRDefault="008C3ABC" w:rsidP="008C3ABC">
      <w:pPr>
        <w:numPr>
          <w:ilvl w:val="0"/>
          <w:numId w:val="2"/>
        </w:numPr>
        <w:jc w:val="both"/>
      </w:pPr>
      <w:r>
        <w:t xml:space="preserve">Nakon završenog pismenog dijela ispita, a ako je Odlukom Upravnog vijeća u tekstu Javnog natječaja tako regulirano, kandidat će pristupiti i usmenoj dijelu ispita (Intervju). </w:t>
      </w:r>
      <w:r>
        <w:lastRenderedPageBreak/>
        <w:t>Intervju će se ocjenjivati na način da će svaki član Povjerenstva pojedinačno ocijeniti kandidata, a konačna ocjena će predstavljati zbroj svih dobivenih ocjena (bodova).</w:t>
      </w:r>
    </w:p>
    <w:p w:rsidR="008C3ABC" w:rsidRDefault="008C3ABC" w:rsidP="008C3ABC">
      <w:pPr>
        <w:jc w:val="both"/>
      </w:pPr>
    </w:p>
    <w:p w:rsidR="008C3ABC" w:rsidRDefault="008C3ABC" w:rsidP="008C3ABC">
      <w:pPr>
        <w:jc w:val="both"/>
      </w:pPr>
    </w:p>
    <w:p w:rsidR="008C3ABC" w:rsidRDefault="008C3ABC" w:rsidP="008C3ABC">
      <w:pPr>
        <w:jc w:val="center"/>
        <w:rPr>
          <w:b/>
          <w:i/>
        </w:rPr>
      </w:pPr>
      <w:r>
        <w:rPr>
          <w:b/>
          <w:i/>
        </w:rPr>
        <w:t>Članak 3.</w:t>
      </w:r>
    </w:p>
    <w:p w:rsidR="008C3ABC" w:rsidRDefault="008C3ABC" w:rsidP="008C3ABC">
      <w:pPr>
        <w:pStyle w:val="Odlomakpopisa"/>
        <w:numPr>
          <w:ilvl w:val="0"/>
          <w:numId w:val="3"/>
        </w:numPr>
        <w:jc w:val="both"/>
      </w:pPr>
      <w:r>
        <w:t xml:space="preserve">Ispitno Povjerenstvo će o vremenu i mjestu održavanja pismenog dijela ispita obavijestiti kandidate u pisanom obliku, putem obavijesti koja će biti dostavljena na adresu kandidata (preporučeno putem pošte), kao i na e-mail adresu koja je navedena u obrascu za prijavu. </w:t>
      </w:r>
    </w:p>
    <w:p w:rsidR="008C3ABC" w:rsidRDefault="008C3ABC" w:rsidP="008C3ABC">
      <w:pPr>
        <w:pStyle w:val="Odlomakpopisa"/>
        <w:numPr>
          <w:ilvl w:val="0"/>
          <w:numId w:val="3"/>
        </w:numPr>
        <w:jc w:val="both"/>
      </w:pPr>
      <w:r>
        <w:t>Obavijest iz stavka (1) ovog članka potrebno je dostaviti najmanje dva (2) dana prije održavanja ispita.</w:t>
      </w:r>
    </w:p>
    <w:p w:rsidR="008C3ABC" w:rsidRDefault="008C3ABC" w:rsidP="008C3ABC">
      <w:pPr>
        <w:pStyle w:val="Odlomakpopisa"/>
        <w:numPr>
          <w:ilvl w:val="0"/>
          <w:numId w:val="3"/>
        </w:numPr>
        <w:jc w:val="both"/>
      </w:pPr>
      <w:r>
        <w:t xml:space="preserve">Ukoliko se obavijest iz stavka (1) ovog članka ne može dostaviti na predviđen način, bez krivnje Ustanove, ista će se izvjesiti na oglasnu ploču ravnateljstva  Ustanove, a što će se smatrati izvršenim obavještavanjem.  </w:t>
      </w:r>
    </w:p>
    <w:p w:rsidR="008C3ABC" w:rsidRDefault="008C3ABC" w:rsidP="008C3ABC">
      <w:pPr>
        <w:numPr>
          <w:ilvl w:val="0"/>
          <w:numId w:val="2"/>
        </w:numPr>
        <w:jc w:val="both"/>
      </w:pPr>
      <w:r>
        <w:t xml:space="preserve">O sljedećim fazama postupka kandidati se mogu informirati i usmeno, putem telefona. Tijekom održavanja pismenog dijela ispita, svi kandidati će dobiti informaciju o terminu održavanja Intervjua. </w:t>
      </w:r>
    </w:p>
    <w:p w:rsidR="008C3ABC" w:rsidRDefault="008C3ABC" w:rsidP="008C3ABC">
      <w:pPr>
        <w:numPr>
          <w:ilvl w:val="0"/>
          <w:numId w:val="2"/>
        </w:numPr>
        <w:jc w:val="both"/>
      </w:pPr>
      <w:r>
        <w:t>Bodovima osvojenim na pismenom dijelu ispita pribrojati će se bodovi sa usmenog dijela ispita, te na tako ostvaren broj bodova, u ovisnosti od pripadnosti braniteljskoj populaciji, dodati će se bodovi primjenom utvrđenog postotka u tabelarnom prikazu (čl.8. Pravila).</w:t>
      </w:r>
    </w:p>
    <w:p w:rsidR="008C3ABC" w:rsidRDefault="008C3ABC" w:rsidP="008C3ABC">
      <w:pPr>
        <w:jc w:val="both"/>
      </w:pPr>
    </w:p>
    <w:p w:rsidR="008C3ABC" w:rsidRDefault="008C3ABC" w:rsidP="008C3ABC">
      <w:pPr>
        <w:jc w:val="center"/>
        <w:rPr>
          <w:b/>
        </w:rPr>
      </w:pPr>
      <w:r>
        <w:rPr>
          <w:b/>
        </w:rPr>
        <w:t xml:space="preserve">Tijek postupka usmenog dijela ispita </w:t>
      </w:r>
    </w:p>
    <w:p w:rsidR="008C3ABC" w:rsidRDefault="008C3ABC" w:rsidP="008C3ABC">
      <w:pPr>
        <w:jc w:val="center"/>
        <w:rPr>
          <w:b/>
        </w:rPr>
      </w:pPr>
      <w:r>
        <w:rPr>
          <w:b/>
        </w:rPr>
        <w:t xml:space="preserve"> (Intervju)</w:t>
      </w:r>
    </w:p>
    <w:p w:rsidR="008C3ABC" w:rsidRDefault="008C3ABC" w:rsidP="008C3ABC">
      <w:pPr>
        <w:jc w:val="center"/>
        <w:rPr>
          <w:b/>
        </w:rPr>
      </w:pPr>
    </w:p>
    <w:p w:rsidR="008C3ABC" w:rsidRDefault="008C3ABC" w:rsidP="008C3ABC">
      <w:pPr>
        <w:spacing w:line="360" w:lineRule="auto"/>
        <w:jc w:val="center"/>
        <w:rPr>
          <w:b/>
          <w:i/>
        </w:rPr>
      </w:pPr>
      <w:r>
        <w:rPr>
          <w:b/>
          <w:i/>
        </w:rPr>
        <w:t>Članak 4.</w:t>
      </w:r>
    </w:p>
    <w:p w:rsidR="008C3ABC" w:rsidRDefault="008C3ABC" w:rsidP="008C3ABC">
      <w:pPr>
        <w:pStyle w:val="Odlomakpopisa"/>
        <w:numPr>
          <w:ilvl w:val="0"/>
          <w:numId w:val="4"/>
        </w:numPr>
        <w:jc w:val="both"/>
      </w:pPr>
      <w:r>
        <w:t xml:space="preserve">Po dolasku na Intervju, od kandidata će biti zatraženo predočavanje osobne iskaznice radi utvrđivanja identiteta. Kandidat koji ne može dokazati identitet neće moći pristupiti Intervjuu. </w:t>
      </w:r>
    </w:p>
    <w:p w:rsidR="008C3ABC" w:rsidRDefault="008C3ABC" w:rsidP="008C3ABC">
      <w:pPr>
        <w:pStyle w:val="Odlomakpopisa"/>
        <w:numPr>
          <w:ilvl w:val="0"/>
          <w:numId w:val="4"/>
        </w:numPr>
        <w:jc w:val="both"/>
      </w:pPr>
      <w:r>
        <w:t>Ukoliko se prijem u radni odnos realizira samo na temelju Intervjua a kandidat ne pristupi Intervjuu smatrat će se da je povukao prijavu na Natječaj.</w:t>
      </w:r>
    </w:p>
    <w:p w:rsidR="008C3ABC" w:rsidRDefault="008C3ABC" w:rsidP="008C3ABC">
      <w:pPr>
        <w:numPr>
          <w:ilvl w:val="0"/>
          <w:numId w:val="4"/>
        </w:numPr>
        <w:jc w:val="both"/>
      </w:pPr>
      <w:r>
        <w:t>Intervju se sastoji od šest (6) pitanja, a sastavlja ih Ispitno povjerenstvo.</w:t>
      </w:r>
    </w:p>
    <w:p w:rsidR="008C3ABC" w:rsidRDefault="008C3ABC" w:rsidP="008C3ABC">
      <w:pPr>
        <w:numPr>
          <w:ilvl w:val="0"/>
          <w:numId w:val="4"/>
        </w:numPr>
        <w:jc w:val="both"/>
      </w:pPr>
      <w:r>
        <w:t>Pitanja koja se postavljaju na Intervjuu imaju za cilj utvrditi stupanj znanja i sposobnosti za obavljanje poslova radnog mjesta za koje se provodi procedura prijema, sposobnost usvajanja novih znanja i sklonost timskom radu.</w:t>
      </w:r>
    </w:p>
    <w:p w:rsidR="008C3ABC" w:rsidRDefault="008C3ABC" w:rsidP="008C3ABC">
      <w:pPr>
        <w:numPr>
          <w:ilvl w:val="0"/>
          <w:numId w:val="4"/>
        </w:numPr>
        <w:jc w:val="both"/>
      </w:pPr>
      <w:r>
        <w:t>Svim kandidatima na Intervjuu postavljaju se pitanja istog ili sličnog sadržaja.</w:t>
      </w:r>
    </w:p>
    <w:p w:rsidR="008C3ABC" w:rsidRDefault="008C3ABC" w:rsidP="008C3ABC">
      <w:pPr>
        <w:numPr>
          <w:ilvl w:val="0"/>
          <w:numId w:val="4"/>
        </w:numPr>
        <w:jc w:val="both"/>
      </w:pPr>
      <w:r>
        <w:t xml:space="preserve">Intervju se boduje na način da svaki član Povjerenstva ocjeni obavljeni Intervju s kandidatom sa ocjenom od 1 do 5. </w:t>
      </w:r>
    </w:p>
    <w:p w:rsidR="008C3ABC" w:rsidRDefault="008C3ABC" w:rsidP="008C3ABC">
      <w:pPr>
        <w:numPr>
          <w:ilvl w:val="0"/>
          <w:numId w:val="4"/>
        </w:numPr>
        <w:jc w:val="both"/>
      </w:pPr>
      <w:r>
        <w:t xml:space="preserve">Ukoliko se prijem u radni odnos realizira samo na temelju Intervjua, zbroju svih dobivenih ocjena dodat će se, u ovisnosti od pripadnosti braniteljskoj populaciji,  bodovi primjenom utvrđenog postotka u tabelarnom prikazu (čl.8. Pravila). Ukupan zbroj bodova biti će mjerilo za izradu rang liste kandidata.  </w:t>
      </w:r>
    </w:p>
    <w:p w:rsidR="008C3ABC" w:rsidRDefault="008C3ABC" w:rsidP="008C3ABC">
      <w:pPr>
        <w:rPr>
          <w:b/>
          <w:i/>
        </w:rPr>
      </w:pPr>
    </w:p>
    <w:p w:rsidR="008C3ABC" w:rsidRDefault="008C3ABC" w:rsidP="008C3ABC">
      <w:pPr>
        <w:jc w:val="center"/>
        <w:rPr>
          <w:b/>
          <w:i/>
        </w:rPr>
      </w:pPr>
      <w:r>
        <w:rPr>
          <w:b/>
          <w:i/>
        </w:rPr>
        <w:t>Članak 5.</w:t>
      </w:r>
    </w:p>
    <w:p w:rsidR="008C3ABC" w:rsidRDefault="008C3ABC" w:rsidP="008C3ABC">
      <w:pPr>
        <w:pStyle w:val="Odlomakpopisa"/>
        <w:numPr>
          <w:ilvl w:val="0"/>
          <w:numId w:val="5"/>
        </w:numPr>
        <w:jc w:val="both"/>
      </w:pPr>
      <w:r>
        <w:t>U slučaju provođenja postupka prijema u radni odnos kandidata za radno mjesto gdje se provodi samo usmena dio ispita (Intervju), Povjerenstvo će o vremenu i mjestu održavanja usmenog dijela ispita obavijestiti kandidate u pisanom obliku, putem obavijesti koja će biti dostavljena na adresu kandidata (preporučeno putem pošte), kao i na e-mail adresu koja je navedena u obrascu za prijavu.</w:t>
      </w:r>
    </w:p>
    <w:p w:rsidR="008C3ABC" w:rsidRDefault="008C3ABC" w:rsidP="008C3ABC">
      <w:pPr>
        <w:pStyle w:val="Odlomakpopisa"/>
        <w:numPr>
          <w:ilvl w:val="0"/>
          <w:numId w:val="5"/>
        </w:numPr>
        <w:jc w:val="both"/>
      </w:pPr>
      <w:r>
        <w:lastRenderedPageBreak/>
        <w:t xml:space="preserve">Obavijest iz stavka (1) ovog članka potrebno je dostaviti najmanje dva (2) dana prije održavanja Intervjua. Ukoliko se obavijest iz stavka (1) ovog članka ne može dostaviti na predviđen način, bez krivnje Ustanove, ista će se izvjesiti na oglasnu ploču ravnateljstva  Ustanove, a što će se smatrati izvršenim obavještavanjem.  </w:t>
      </w:r>
    </w:p>
    <w:p w:rsidR="008C3ABC" w:rsidRDefault="008C3ABC" w:rsidP="008C3ABC">
      <w:pPr>
        <w:pStyle w:val="Odlomakpopisa"/>
        <w:numPr>
          <w:ilvl w:val="0"/>
          <w:numId w:val="5"/>
        </w:numPr>
        <w:jc w:val="both"/>
      </w:pPr>
      <w:r>
        <w:t>Ispitno Povjerenstvo radi u punom sastavu.</w:t>
      </w:r>
    </w:p>
    <w:p w:rsidR="008C3ABC" w:rsidRDefault="008C3ABC" w:rsidP="008C3ABC">
      <w:pPr>
        <w:pStyle w:val="Odlomakpopisa"/>
        <w:jc w:val="both"/>
      </w:pPr>
    </w:p>
    <w:p w:rsidR="008C3ABC" w:rsidRDefault="008C3ABC" w:rsidP="008C3ABC">
      <w:pPr>
        <w:spacing w:line="360" w:lineRule="auto"/>
        <w:jc w:val="center"/>
        <w:rPr>
          <w:b/>
          <w:i/>
        </w:rPr>
      </w:pPr>
      <w:r>
        <w:rPr>
          <w:b/>
          <w:i/>
        </w:rPr>
        <w:t>Članak 6.</w:t>
      </w:r>
    </w:p>
    <w:p w:rsidR="008C3ABC" w:rsidRDefault="008C3ABC" w:rsidP="008C3ABC">
      <w:pPr>
        <w:pStyle w:val="Odlomakpopisa"/>
        <w:numPr>
          <w:ilvl w:val="0"/>
          <w:numId w:val="6"/>
        </w:numPr>
        <w:jc w:val="both"/>
      </w:pPr>
      <w:r>
        <w:t>U slučaju raspisivanja Javnog natječaja za prijem u radni odnos za istu poziciju (radno mjesto) na neodređeno i određeno vrijeme, prijem kandidata će se vršiti na temelju rang liste Ispitnog povjerenstva, na način da se od prvog kandidata pa na niže popunjavaju radna mjesta na neodređeno vrijeme a potom na određeno vrijeme.</w:t>
      </w:r>
    </w:p>
    <w:p w:rsidR="008C3ABC" w:rsidRDefault="008C3ABC" w:rsidP="008C3ABC">
      <w:pPr>
        <w:pStyle w:val="Odlomakpopisa"/>
        <w:numPr>
          <w:ilvl w:val="0"/>
          <w:numId w:val="6"/>
        </w:numPr>
        <w:jc w:val="both"/>
      </w:pPr>
      <w:r>
        <w:t xml:space="preserve">Upravno vijeće Ustanove može donijeti odluku o izboru novog radnika pod uvjetom da je kandidat na dostavljenoj rang listi ostvario najmanje 60% bodova nakon obavljenog testiranja. </w:t>
      </w:r>
    </w:p>
    <w:p w:rsidR="008C3ABC" w:rsidRDefault="008C3ABC" w:rsidP="008C3ABC">
      <w:pPr>
        <w:pStyle w:val="Odlomakpopisa"/>
        <w:numPr>
          <w:ilvl w:val="0"/>
          <w:numId w:val="6"/>
        </w:numPr>
        <w:jc w:val="both"/>
      </w:pPr>
      <w:r>
        <w:t xml:space="preserve">Upravno vijeće Ustanove donosi odluku o izboru kandidata u skladu s brojem radnih mjesta koja se popunjavaju javnim natječajem, a prema redoslijedu na dostavljenoj rang listi kandidata. </w:t>
      </w:r>
    </w:p>
    <w:p w:rsidR="008C3ABC" w:rsidRDefault="008C3ABC" w:rsidP="008C3ABC">
      <w:pPr>
        <w:jc w:val="both"/>
      </w:pPr>
    </w:p>
    <w:p w:rsidR="008C3ABC" w:rsidRDefault="008C3ABC" w:rsidP="008C3ABC">
      <w:pPr>
        <w:jc w:val="center"/>
        <w:rPr>
          <w:b/>
        </w:rPr>
      </w:pPr>
      <w:r>
        <w:rPr>
          <w:b/>
        </w:rPr>
        <w:t>Prioritet pri zapošljavanju</w:t>
      </w:r>
    </w:p>
    <w:p w:rsidR="008C3ABC" w:rsidRDefault="008C3ABC" w:rsidP="008C3ABC">
      <w:pPr>
        <w:jc w:val="center"/>
      </w:pPr>
    </w:p>
    <w:p w:rsidR="008C3ABC" w:rsidRDefault="008C3ABC" w:rsidP="008C3ABC">
      <w:pPr>
        <w:jc w:val="center"/>
        <w:rPr>
          <w:b/>
          <w:i/>
        </w:rPr>
      </w:pPr>
      <w:r>
        <w:rPr>
          <w:b/>
          <w:i/>
        </w:rPr>
        <w:t>Članak 7.</w:t>
      </w:r>
    </w:p>
    <w:p w:rsidR="008C3ABC" w:rsidRDefault="008C3ABC" w:rsidP="008C3ABC">
      <w:pPr>
        <w:pStyle w:val="Odlomakpopisa"/>
        <w:numPr>
          <w:ilvl w:val="0"/>
          <w:numId w:val="7"/>
        </w:numPr>
        <w:jc w:val="both"/>
      </w:pPr>
      <w:r>
        <w:t>U Pravilima i postupku za prijem u radni odnos po Javnom natječaju, primjenjuje se Zakon o dopunskim pravima branitelja i članova njihovih obitelji u Hercegovačko-neretvanskoj županiji (broj:6/18, 4/21, 7/22 i 11/23) i Uredba o jedinstvenim kriterijima i pravilima za zapošljavanje branitelja i članova njihovih obitelji u HNŽ-i („Narodne novine HNŽ-e“, broj 1/24).</w:t>
      </w:r>
    </w:p>
    <w:p w:rsidR="008C3ABC" w:rsidRDefault="008C3ABC" w:rsidP="008C3ABC">
      <w:pPr>
        <w:pStyle w:val="Odlomakpopisa"/>
        <w:numPr>
          <w:ilvl w:val="0"/>
          <w:numId w:val="7"/>
        </w:numPr>
        <w:jc w:val="both"/>
      </w:pPr>
      <w:r>
        <w:t>Korisnici prava po Uredbi o jedinstvenim kriterijima i pravilima za zapošljavanje branitelja i članova njihovih obitelji u HNŽ-i („Narodne novine HNŽ-e“, broj 1/24) (u daljnjem tekstu: Uredba)  koji imaju prioritet pri zapošljavanju, su osobe koje imaju prijavljeno prebivalište u HNŽ-i, najmanje pet godina prije objave natječaja na koji se prijavljuje.</w:t>
      </w:r>
    </w:p>
    <w:p w:rsidR="008C3ABC" w:rsidRDefault="008C3ABC" w:rsidP="008C3ABC">
      <w:pPr>
        <w:pStyle w:val="Odlomakpopisa"/>
        <w:numPr>
          <w:ilvl w:val="0"/>
          <w:numId w:val="7"/>
        </w:numPr>
        <w:jc w:val="both"/>
      </w:pPr>
      <w:r>
        <w:t xml:space="preserve">Korisnici prava sukladno Uredbi, imaju prioritet prilikom prvog zapošljavanja u stečenoj stručnoj spremi, a koje pravo prestaje ukoliko je radni odnos temeljem takvog zapošljavanja postao radni odnos na neodređeno vrijeme. Sukladno navedenom kandidati koji se prijavljuju na raspisani Javni natječaj i koriste navedeno pravo, dostavljaju ovjerenu Izjavu o ranijem ne zasnivanju radnog odnosa na neodređeno vrijeme u stečenoj struci temeljem prava prioriteta zapošljavanja. Uz Izjavu kandidat dostavlja i uvjerenje o podatcima registriranim u matičnoj evidenciji izdano od strane FZ MIO županijske administrativne službe. </w:t>
      </w:r>
    </w:p>
    <w:p w:rsidR="008C3ABC" w:rsidRDefault="008C3ABC" w:rsidP="008C3ABC">
      <w:pPr>
        <w:jc w:val="both"/>
      </w:pPr>
    </w:p>
    <w:p w:rsidR="008C3ABC" w:rsidRDefault="008C3ABC" w:rsidP="008C3ABC">
      <w:pPr>
        <w:jc w:val="center"/>
        <w:rPr>
          <w:b/>
          <w:i/>
        </w:rPr>
      </w:pPr>
      <w:r>
        <w:rPr>
          <w:b/>
          <w:i/>
        </w:rPr>
        <w:t>Članak 8.</w:t>
      </w:r>
    </w:p>
    <w:p w:rsidR="008C3ABC" w:rsidRDefault="008C3ABC" w:rsidP="008C3ABC">
      <w:pPr>
        <w:jc w:val="center"/>
        <w:rPr>
          <w:b/>
        </w:rPr>
      </w:pPr>
      <w:r>
        <w:rPr>
          <w:b/>
        </w:rPr>
        <w:t>Tabelarni prikaz utvrđenog postotka</w:t>
      </w:r>
    </w:p>
    <w:p w:rsidR="008C3ABC" w:rsidRDefault="008C3ABC" w:rsidP="008C3ABC">
      <w:pPr>
        <w:jc w:val="both"/>
      </w:pPr>
      <w:r>
        <w:t xml:space="preserve"> </w:t>
      </w:r>
    </w:p>
    <w:tbl>
      <w:tblPr>
        <w:tblStyle w:val="Reetkatablice"/>
        <w:tblW w:w="9351" w:type="dxa"/>
        <w:tblInd w:w="0" w:type="dxa"/>
        <w:tblLook w:val="04A0" w:firstRow="1" w:lastRow="0" w:firstColumn="1" w:lastColumn="0" w:noHBand="0" w:noVBand="1"/>
      </w:tblPr>
      <w:tblGrid>
        <w:gridCol w:w="643"/>
        <w:gridCol w:w="7290"/>
        <w:gridCol w:w="1418"/>
      </w:tblGrid>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center"/>
              <w:rPr>
                <w:b/>
                <w:lang w:eastAsia="en-US"/>
              </w:rPr>
            </w:pPr>
            <w:proofErr w:type="spellStart"/>
            <w:r>
              <w:rPr>
                <w:b/>
                <w:lang w:eastAsia="en-US"/>
              </w:rPr>
              <w:t>R.b</w:t>
            </w:r>
            <w:proofErr w:type="spellEnd"/>
            <w:r>
              <w:rPr>
                <w:b/>
                <w:lang w:eastAsia="en-US"/>
              </w:rPr>
              <w:t>.</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center"/>
              <w:rPr>
                <w:b/>
                <w:lang w:eastAsia="en-US"/>
              </w:rPr>
            </w:pPr>
            <w:r>
              <w:rPr>
                <w:b/>
                <w:lang w:eastAsia="en-US"/>
              </w:rPr>
              <w:t>Braniteljski status</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center"/>
              <w:rPr>
                <w:b/>
                <w:lang w:eastAsia="en-US"/>
              </w:rPr>
            </w:pPr>
            <w:r>
              <w:rPr>
                <w:b/>
                <w:lang w:eastAsia="en-US"/>
              </w:rPr>
              <w:t>Postotak</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1.</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Dijete poginulog, umrlog, nestalog branitelja bez oba roditelja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40%</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2.</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Dijete poginulog, umrlog, nestalog branitelja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25%</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3.</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Supružnik poginulog, umrlog i nestalog branitelja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20%</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4.</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Osobe u statusu ratnog vojnog invalida od X grupe kao i njegovi supružnici i djeca:15%+0,3% za svaku narednu grupu invalidnosti do I grupe</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15-18,2%</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lastRenderedPageBreak/>
              <w:t>5.</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Osobe u statusu razvojačenog branitelja kao i njegovi supružnici i djeca: za 1 godinu sudjelovanja 10%+0,1% za svaki mjesec sudjelovanja branitelja u oružanim snagama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10%-15,4%</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6.</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Dobitnici ratnog priznanja i odličja I grupe kao i njegovi supružnici i djeca: dodatno (temeljem statusa iz prethodnih točaka)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3%</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7.</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Dobitnici ratnog priznanja i odličja II grupe kao i njegovi supružnici i djeca: dodatno (temeljem statusa iz prethodnih točaka)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2%</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8.</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Dobitnici ratnog priznanja i odličja III grupe kao i njegovi supružnici i djeca: dodatno (temeljem statusa iz prethodnih točaka)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1%</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9.</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Osobe u statusu maloljetnih branitelja: dodatno (temeljem statusa iz prethodnih točaka)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3%</w:t>
            </w:r>
          </w:p>
        </w:tc>
      </w:tr>
      <w:tr w:rsidR="008C3ABC" w:rsidTr="008C3ABC">
        <w:tc>
          <w:tcPr>
            <w:tcW w:w="643"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10.</w:t>
            </w:r>
          </w:p>
        </w:tc>
        <w:tc>
          <w:tcPr>
            <w:tcW w:w="7290"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Djeca umrlog ratnog vojnog invalida i umrlog razvojačenog branitelja dodatno temeljem statusa umrlog roditelja (temeljem statusa iz prethodnih točaka)</w:t>
            </w:r>
          </w:p>
        </w:tc>
        <w:tc>
          <w:tcPr>
            <w:tcW w:w="1418" w:type="dxa"/>
            <w:tcBorders>
              <w:top w:val="single" w:sz="4" w:space="0" w:color="auto"/>
              <w:left w:val="single" w:sz="4" w:space="0" w:color="auto"/>
              <w:bottom w:val="single" w:sz="4" w:space="0" w:color="auto"/>
              <w:right w:val="single" w:sz="4" w:space="0" w:color="auto"/>
            </w:tcBorders>
            <w:hideMark/>
          </w:tcPr>
          <w:p w:rsidR="008C3ABC" w:rsidRDefault="008C3ABC">
            <w:pPr>
              <w:jc w:val="both"/>
              <w:rPr>
                <w:lang w:eastAsia="en-US"/>
              </w:rPr>
            </w:pPr>
            <w:r>
              <w:rPr>
                <w:lang w:eastAsia="en-US"/>
              </w:rPr>
              <w:t>1%</w:t>
            </w:r>
          </w:p>
        </w:tc>
      </w:tr>
    </w:tbl>
    <w:p w:rsidR="008C3ABC" w:rsidRDefault="008C3ABC" w:rsidP="008C3ABC">
      <w:pPr>
        <w:ind w:firstLine="708"/>
        <w:jc w:val="both"/>
      </w:pPr>
    </w:p>
    <w:p w:rsidR="008C3ABC" w:rsidRDefault="008C3ABC" w:rsidP="008C3ABC">
      <w:pPr>
        <w:jc w:val="center"/>
        <w:rPr>
          <w:b/>
          <w:i/>
        </w:rPr>
      </w:pPr>
      <w:r>
        <w:rPr>
          <w:b/>
          <w:i/>
        </w:rPr>
        <w:t>Članak 9.</w:t>
      </w:r>
    </w:p>
    <w:p w:rsidR="008C3ABC" w:rsidRDefault="008C3ABC" w:rsidP="008C3ABC">
      <w:pPr>
        <w:jc w:val="both"/>
      </w:pPr>
      <w:r>
        <w:tab/>
        <w:t>U slučajevima kada se primjenom prioriteta iz članka 8. Pravila, dvjema ili više osoba utvrdi jednak broj bodova, trebaju se primijeniti prioriteti temeljem reda kategorija pobrojanih u članku 8. Pravila.</w:t>
      </w:r>
    </w:p>
    <w:p w:rsidR="008C3ABC" w:rsidRDefault="008C3ABC" w:rsidP="008C3ABC">
      <w:pPr>
        <w:jc w:val="center"/>
        <w:rPr>
          <w:b/>
          <w:i/>
        </w:rPr>
      </w:pPr>
      <w:r>
        <w:rPr>
          <w:b/>
          <w:i/>
        </w:rPr>
        <w:t>Članak 10.</w:t>
      </w:r>
    </w:p>
    <w:p w:rsidR="008C3ABC" w:rsidRDefault="008C3ABC" w:rsidP="008C3ABC">
      <w:pPr>
        <w:jc w:val="both"/>
      </w:pPr>
      <w:r>
        <w:tab/>
        <w:t>Ustanova „Dječji vrtići“ Mostar će prilikom raspisivanja Javnog natječaja kao dokaz o pripadnosti braniteljskoj populaciji tražiti dostavu dokumentacije koja je propisana Uredbom o jedinstvenim kriterijima i pravilima za zapošljavanje branitelja i članova njihovih obitelji u HNŽ-i („Narodne novine HNŽ-e“, broj 1/24).</w:t>
      </w:r>
    </w:p>
    <w:p w:rsidR="008C3ABC" w:rsidRDefault="008C3ABC" w:rsidP="008C3ABC">
      <w:pPr>
        <w:jc w:val="both"/>
      </w:pPr>
    </w:p>
    <w:p w:rsidR="008C3ABC" w:rsidRDefault="008C3ABC" w:rsidP="008C3ABC">
      <w:pPr>
        <w:jc w:val="center"/>
        <w:rPr>
          <w:b/>
        </w:rPr>
      </w:pPr>
      <w:r>
        <w:rPr>
          <w:b/>
        </w:rPr>
        <w:t>Pravo uvida u rezultate procedure prijema u radni odnos</w:t>
      </w:r>
    </w:p>
    <w:p w:rsidR="008C3ABC" w:rsidRDefault="008C3ABC" w:rsidP="008C3ABC">
      <w:pPr>
        <w:jc w:val="both"/>
      </w:pPr>
    </w:p>
    <w:p w:rsidR="008C3ABC" w:rsidRDefault="008C3ABC" w:rsidP="008C3ABC">
      <w:pPr>
        <w:jc w:val="center"/>
        <w:rPr>
          <w:b/>
          <w:i/>
        </w:rPr>
      </w:pPr>
      <w:r>
        <w:rPr>
          <w:b/>
          <w:i/>
        </w:rPr>
        <w:t>Članak 11.</w:t>
      </w:r>
    </w:p>
    <w:p w:rsidR="008C3ABC" w:rsidRDefault="008C3ABC" w:rsidP="008C3ABC">
      <w:pPr>
        <w:pStyle w:val="Odlomakpopisa"/>
        <w:numPr>
          <w:ilvl w:val="0"/>
          <w:numId w:val="8"/>
        </w:numPr>
        <w:jc w:val="both"/>
      </w:pPr>
      <w:r>
        <w:t>Po prijemu Odluke Upravnog vijeća o izboru novog radnika, kandidat koji nije izabran može podnijeti zahtjev za uvid u dokumentaciju u svezi s provedenom procedurom prijema u radni odnos.</w:t>
      </w:r>
    </w:p>
    <w:p w:rsidR="008C3ABC" w:rsidRDefault="008C3ABC" w:rsidP="008C3ABC">
      <w:pPr>
        <w:pStyle w:val="Odlomakpopisa"/>
        <w:numPr>
          <w:ilvl w:val="0"/>
          <w:numId w:val="8"/>
        </w:numPr>
        <w:jc w:val="both"/>
      </w:pPr>
      <w:r>
        <w:t xml:space="preserve">Poslodavac će najkasnije u roku od dva (2) dana omogućiti uvid u dokumentaciju u svezi s provedenim procedurama prijema u radni odnos, osim dokumentacije koja se odnosi na osobne podatke drugih kandidata. </w:t>
      </w:r>
    </w:p>
    <w:p w:rsidR="008C3ABC" w:rsidRDefault="008C3ABC" w:rsidP="008C3ABC">
      <w:pPr>
        <w:pStyle w:val="Odlomakpopisa"/>
        <w:numPr>
          <w:ilvl w:val="0"/>
          <w:numId w:val="8"/>
        </w:numPr>
        <w:jc w:val="both"/>
      </w:pPr>
      <w:r>
        <w:t xml:space="preserve">Uvidom u dokumentaciju o provedenoj proceduri prijema u radni odnos, zainteresirani kandidat potpisuje izjavu o omogućavanju uvida u istu. </w:t>
      </w:r>
      <w:r>
        <w:tab/>
      </w:r>
    </w:p>
    <w:p w:rsidR="008C3ABC" w:rsidRDefault="008C3ABC" w:rsidP="008C3ABC">
      <w:pPr>
        <w:jc w:val="both"/>
      </w:pPr>
    </w:p>
    <w:p w:rsidR="008C3ABC" w:rsidRDefault="008C3ABC" w:rsidP="008C3ABC">
      <w:pPr>
        <w:jc w:val="center"/>
        <w:rPr>
          <w:b/>
          <w:i/>
        </w:rPr>
      </w:pPr>
      <w:r>
        <w:rPr>
          <w:b/>
          <w:i/>
        </w:rPr>
        <w:t>Članak 12.</w:t>
      </w:r>
    </w:p>
    <w:p w:rsidR="008C3ABC" w:rsidRDefault="008C3ABC" w:rsidP="008C3ABC">
      <w:pPr>
        <w:ind w:firstLine="708"/>
        <w:jc w:val="both"/>
      </w:pPr>
      <w:r>
        <w:t>Pravila i postupak za prijem u radni odnos po Javnom natječaju na određeno i neodređeno vrijeme, stupaju na snagu danom donošenja i objavit će se na oglasnoj ploči vrtića. Stupanjem na snagu ovih Pravila, prestaju važiti Pravila i postupak provjere znanja i sposobnosti po Javnom natječaju (ur.br.:01-UV-999/23, 13. 12. 2023. godine).</w:t>
      </w:r>
    </w:p>
    <w:p w:rsidR="008C3ABC" w:rsidRDefault="008C3ABC" w:rsidP="008C3ABC">
      <w:pPr>
        <w:ind w:firstLine="708"/>
        <w:jc w:val="both"/>
      </w:pPr>
    </w:p>
    <w:p w:rsidR="008C3ABC" w:rsidRDefault="008C3ABC" w:rsidP="008C3ABC">
      <w:pPr>
        <w:ind w:left="5661" w:firstLine="3"/>
        <w:jc w:val="both"/>
      </w:pPr>
      <w:r>
        <w:t>Predsjednica Upravnog vijeća</w:t>
      </w:r>
    </w:p>
    <w:p w:rsidR="008C3ABC" w:rsidRDefault="008C3ABC" w:rsidP="008C3ABC">
      <w:pPr>
        <w:ind w:left="5661" w:firstLine="3"/>
        <w:jc w:val="both"/>
      </w:pPr>
    </w:p>
    <w:p w:rsidR="008C3ABC" w:rsidRDefault="008C3ABC" w:rsidP="008C3ABC">
      <w:pPr>
        <w:ind w:left="5661" w:firstLine="3"/>
        <w:jc w:val="both"/>
      </w:pPr>
      <w:r>
        <w:t xml:space="preserve">         Jelena </w:t>
      </w:r>
      <w:proofErr w:type="spellStart"/>
      <w:r>
        <w:t>Drmać</w:t>
      </w:r>
      <w:proofErr w:type="spellEnd"/>
      <w:r>
        <w:t xml:space="preserve">  </w:t>
      </w:r>
    </w:p>
    <w:p w:rsidR="008C3ABC" w:rsidRDefault="008C3ABC" w:rsidP="008C3ABC">
      <w:pPr>
        <w:ind w:left="3537"/>
        <w:jc w:val="both"/>
      </w:pPr>
    </w:p>
    <w:p w:rsidR="008C3ABC" w:rsidRDefault="008C3ABC" w:rsidP="008C3ABC">
      <w:pPr>
        <w:jc w:val="both"/>
        <w:rPr>
          <w:b/>
          <w:sz w:val="20"/>
          <w:szCs w:val="20"/>
        </w:rPr>
      </w:pPr>
      <w:r>
        <w:rPr>
          <w:b/>
          <w:sz w:val="20"/>
          <w:szCs w:val="20"/>
        </w:rPr>
        <w:t>Dostaviti:</w:t>
      </w:r>
    </w:p>
    <w:p w:rsidR="008C3ABC" w:rsidRDefault="008C3ABC" w:rsidP="008C3ABC">
      <w:pPr>
        <w:jc w:val="both"/>
        <w:rPr>
          <w:sz w:val="20"/>
          <w:szCs w:val="20"/>
        </w:rPr>
      </w:pPr>
      <w:r>
        <w:rPr>
          <w:sz w:val="20"/>
          <w:szCs w:val="20"/>
        </w:rPr>
        <w:t>- Tajništvu ustanove</w:t>
      </w:r>
    </w:p>
    <w:p w:rsidR="00BB20A7" w:rsidRPr="008C3ABC" w:rsidRDefault="008C3ABC" w:rsidP="008C3ABC">
      <w:pPr>
        <w:jc w:val="both"/>
        <w:rPr>
          <w:sz w:val="20"/>
          <w:szCs w:val="20"/>
        </w:rPr>
      </w:pPr>
      <w:r>
        <w:rPr>
          <w:sz w:val="20"/>
          <w:szCs w:val="20"/>
        </w:rPr>
        <w:t>- Pismohrani</w:t>
      </w:r>
      <w:bookmarkStart w:id="0" w:name="_GoBack"/>
      <w:bookmarkEnd w:id="0"/>
    </w:p>
    <w:sectPr w:rsidR="00BB20A7" w:rsidRPr="008C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3ACB"/>
    <w:multiLevelType w:val="hybridMultilevel"/>
    <w:tmpl w:val="BAA6EBD6"/>
    <w:lvl w:ilvl="0" w:tplc="AAEA710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6DE05EF"/>
    <w:multiLevelType w:val="hybridMultilevel"/>
    <w:tmpl w:val="B54A541A"/>
    <w:lvl w:ilvl="0" w:tplc="800A761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29DC1859"/>
    <w:multiLevelType w:val="hybridMultilevel"/>
    <w:tmpl w:val="A8D2EBC0"/>
    <w:lvl w:ilvl="0" w:tplc="E302892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39A368B6"/>
    <w:multiLevelType w:val="hybridMultilevel"/>
    <w:tmpl w:val="69985CE6"/>
    <w:lvl w:ilvl="0" w:tplc="71B0DC28">
      <w:start w:val="1"/>
      <w:numFmt w:val="decimal"/>
      <w:lvlText w:val="(%1)"/>
      <w:lvlJc w:val="left"/>
      <w:pPr>
        <w:tabs>
          <w:tab w:val="num" w:pos="720"/>
        </w:tabs>
        <w:ind w:left="72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3A2E4412"/>
    <w:multiLevelType w:val="hybridMultilevel"/>
    <w:tmpl w:val="B1D26808"/>
    <w:lvl w:ilvl="0" w:tplc="1D68A44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3B9462FB"/>
    <w:multiLevelType w:val="hybridMultilevel"/>
    <w:tmpl w:val="B88A0722"/>
    <w:lvl w:ilvl="0" w:tplc="CF324D0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4B3505F3"/>
    <w:multiLevelType w:val="hybridMultilevel"/>
    <w:tmpl w:val="F09AFECA"/>
    <w:lvl w:ilvl="0" w:tplc="5CACCC1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5931666A"/>
    <w:multiLevelType w:val="hybridMultilevel"/>
    <w:tmpl w:val="56C6413E"/>
    <w:lvl w:ilvl="0" w:tplc="5CF0DB10">
      <w:start w:val="1"/>
      <w:numFmt w:val="decimal"/>
      <w:lvlText w:val="(%1)"/>
      <w:lvlJc w:val="left"/>
      <w:pPr>
        <w:tabs>
          <w:tab w:val="num" w:pos="720"/>
        </w:tabs>
        <w:ind w:left="72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9C"/>
    <w:rsid w:val="008C3ABC"/>
    <w:rsid w:val="00BB20A7"/>
    <w:rsid w:val="00D76C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E266A-9234-45E4-B5A0-ADFEF40C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8C3ABC"/>
    <w:pPr>
      <w:jc w:val="both"/>
    </w:pPr>
  </w:style>
  <w:style w:type="character" w:customStyle="1" w:styleId="TijelotekstaChar">
    <w:name w:val="Tijelo teksta Char"/>
    <w:basedOn w:val="Zadanifontodlomka"/>
    <w:link w:val="Tijeloteksta"/>
    <w:semiHidden/>
    <w:rsid w:val="008C3ABC"/>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C3ABC"/>
    <w:pPr>
      <w:ind w:left="720"/>
      <w:contextualSpacing/>
    </w:pPr>
  </w:style>
  <w:style w:type="table" w:styleId="Reetkatablice">
    <w:name w:val="Table Grid"/>
    <w:basedOn w:val="Obinatablica"/>
    <w:uiPriority w:val="39"/>
    <w:rsid w:val="008C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6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dc:creator>
  <cp:keywords/>
  <dc:description/>
  <cp:lastModifiedBy>vrtic</cp:lastModifiedBy>
  <cp:revision>3</cp:revision>
  <dcterms:created xsi:type="dcterms:W3CDTF">2024-09-10T10:02:00Z</dcterms:created>
  <dcterms:modified xsi:type="dcterms:W3CDTF">2024-09-10T10:02:00Z</dcterms:modified>
</cp:coreProperties>
</file>